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724" w:rsidRDefault="009B56AF" w:rsidP="00435724">
      <w:pPr>
        <w:spacing w:after="120" w:line="240" w:lineRule="auto"/>
        <w:ind w:left="-74"/>
        <w:rPr>
          <w:rStyle w:val="IntenseReference"/>
        </w:rPr>
      </w:pPr>
      <w:r>
        <w:rPr>
          <w:rStyle w:val="IntenseReference"/>
        </w:rPr>
        <w:t>Getting started with PARADISEC</w:t>
      </w:r>
    </w:p>
    <w:p w:rsidR="00435724" w:rsidRPr="00583B99" w:rsidRDefault="00435724" w:rsidP="00583B99">
      <w:pPr>
        <w:pStyle w:val="Heading1"/>
      </w:pPr>
      <w:bookmarkStart w:id="0" w:name="_Sign_up_as"/>
      <w:bookmarkEnd w:id="0"/>
      <w:r w:rsidRPr="00583B99">
        <w:t xml:space="preserve">Sign up as </w:t>
      </w:r>
      <w:r w:rsidR="00955A3F" w:rsidRPr="00583B99">
        <w:t>a</w:t>
      </w:r>
      <w:r w:rsidRPr="00583B99">
        <w:t xml:space="preserve"> user with PARADISEC</w:t>
      </w:r>
    </w:p>
    <w:p w:rsidR="00435724" w:rsidRDefault="00435724" w:rsidP="00435724">
      <w:r>
        <w:t>Signing up with PARADISEC means you become a PARADISEC user. This allows you to gain access to collections in the archive. Only as a user can you access data in a PARADISEC collection after agreeing to PARADISEC’s conditions of access, or sending a request to access data that has restrictions on viewing by following instructions provided by the collector.</w:t>
      </w:r>
    </w:p>
    <w:p w:rsidR="00563D67" w:rsidRDefault="00563D67" w:rsidP="00435724">
      <w:r>
        <w:t xml:space="preserve">You also need to sign up with PARADISEC if you wish to deposit material to the archive. Go to the PARASDISEC catalog web page: </w:t>
      </w:r>
      <w:hyperlink r:id="rId7" w:history="1">
        <w:r w:rsidRPr="002F35AC">
          <w:rPr>
            <w:rStyle w:val="Hyperlink"/>
            <w:rFonts w:cs="Minion Pro"/>
          </w:rPr>
          <w:t>http://catalog.paradisec.org.au/</w:t>
        </w:r>
      </w:hyperlink>
      <w:r w:rsidRPr="00563D67">
        <w:rPr>
          <w:b/>
        </w:rPr>
        <w:t xml:space="preserve">, </w:t>
      </w:r>
      <w:r w:rsidRPr="00563D67">
        <w:rPr>
          <w:rStyle w:val="A3"/>
          <w:b w:val="0"/>
          <w:color w:val="auto"/>
        </w:rPr>
        <w:t xml:space="preserve">and </w:t>
      </w:r>
      <w:r>
        <w:rPr>
          <w:rStyle w:val="A3"/>
          <w:b w:val="0"/>
          <w:color w:val="auto"/>
        </w:rPr>
        <w:t xml:space="preserve">click on </w:t>
      </w:r>
      <w:r w:rsidRPr="007257CD">
        <w:rPr>
          <w:rStyle w:val="A3"/>
          <w:color w:val="auto"/>
        </w:rPr>
        <w:t>Sign up</w:t>
      </w:r>
      <w:r>
        <w:rPr>
          <w:rStyle w:val="A3"/>
          <w:b w:val="0"/>
          <w:color w:val="auto"/>
        </w:rPr>
        <w:t xml:space="preserve"> in the</w:t>
      </w:r>
      <w:r w:rsidR="00825E1E">
        <w:rPr>
          <w:rStyle w:val="A3"/>
          <w:b w:val="0"/>
          <w:color w:val="auto"/>
        </w:rPr>
        <w:t xml:space="preserve"> upper right-hand corner</w:t>
      </w:r>
      <w:r>
        <w:rPr>
          <w:rStyle w:val="A3"/>
          <w:b w:val="0"/>
          <w:color w:val="auto"/>
        </w:rPr>
        <w:t>.</w:t>
      </w:r>
      <w:r w:rsidR="00CE2E87">
        <w:rPr>
          <w:rStyle w:val="A3"/>
          <w:b w:val="0"/>
          <w:color w:val="auto"/>
        </w:rPr>
        <w:t xml:space="preserve"> Once you sign up, you get an automated message informing you to check your email to confirm your account, </w:t>
      </w:r>
      <w:r w:rsidR="00CE2E87" w:rsidRPr="00CE2E87">
        <w:rPr>
          <w:rStyle w:val="A3"/>
          <w:b w:val="0"/>
          <w:i/>
          <w:color w:val="auto"/>
        </w:rPr>
        <w:t>“A message with a confirmation link has been sent to your email address. Please open the link to activate your account”</w:t>
      </w:r>
      <w:r w:rsidR="00CE2E87">
        <w:rPr>
          <w:rStyle w:val="A3"/>
          <w:b w:val="0"/>
          <w:color w:val="auto"/>
        </w:rPr>
        <w:t xml:space="preserve">. Click on the link in your email to confirm. </w:t>
      </w:r>
    </w:p>
    <w:p w:rsidR="00435724" w:rsidRPr="00583B99" w:rsidRDefault="00435724" w:rsidP="00583B99">
      <w:pPr>
        <w:pStyle w:val="Heading1"/>
      </w:pPr>
      <w:bookmarkStart w:id="1" w:name="_Get_a_collection"/>
      <w:bookmarkEnd w:id="1"/>
      <w:r w:rsidRPr="00583B99">
        <w:t xml:space="preserve">Get a collection ID from </w:t>
      </w:r>
      <w:r w:rsidR="001256BA">
        <w:t>PARADISEC</w:t>
      </w:r>
    </w:p>
    <w:p w:rsidR="00435724" w:rsidRDefault="00CE2E87" w:rsidP="00435724">
      <w:r>
        <w:t>Once you ar</w:t>
      </w:r>
      <w:r w:rsidR="001256BA">
        <w:t xml:space="preserve">e a user, send a request to PARADISEC administration </w:t>
      </w:r>
      <w:r>
        <w:t>(</w:t>
      </w:r>
      <w:hyperlink r:id="rId8" w:history="1">
        <w:r w:rsidR="001256BA" w:rsidRPr="00905B2A">
          <w:rPr>
            <w:rStyle w:val="Hyperlink"/>
          </w:rPr>
          <w:t>admin@paradisec.org.au</w:t>
        </w:r>
      </w:hyperlink>
      <w:r>
        <w:t xml:space="preserve">) to request a collection be set up for you. </w:t>
      </w:r>
      <w:r w:rsidR="00435724">
        <w:t>T</w:t>
      </w:r>
      <w:r w:rsidR="00B64032">
        <w:t>o help you understand what a collection in PARADISEC might look like, visit the PARADISEC catalog to see other collections- how</w:t>
      </w:r>
      <w:r w:rsidR="00435724">
        <w:t xml:space="preserve"> they are structured and how the files have been named</w:t>
      </w:r>
      <w:r w:rsidR="00B64032">
        <w:t xml:space="preserve"> and described</w:t>
      </w:r>
      <w:r w:rsidR="00435724">
        <w:t>.  Links to two example collections are provided below.</w:t>
      </w:r>
    </w:p>
    <w:p w:rsidR="00435724" w:rsidRDefault="00435724" w:rsidP="00435724">
      <w:r>
        <w:t xml:space="preserve">NT5: </w:t>
      </w:r>
      <w:hyperlink r:id="rId9" w:history="1">
        <w:r w:rsidRPr="00BE6E5C">
          <w:rPr>
            <w:rStyle w:val="Hyperlink"/>
          </w:rPr>
          <w:t>http://catalog.paradisec.org.au/collections/NT5</w:t>
        </w:r>
      </w:hyperlink>
    </w:p>
    <w:tbl>
      <w:tblPr>
        <w:tblW w:w="10485" w:type="dxa"/>
        <w:tblCellSpacing w:w="1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458"/>
        <w:gridCol w:w="9027"/>
      </w:tblGrid>
      <w:tr w:rsidR="00435724" w:rsidRPr="005D067E" w:rsidTr="00B21CCC">
        <w:trPr>
          <w:tblCellSpacing w:w="15" w:type="dxa"/>
        </w:trPr>
        <w:tc>
          <w:tcPr>
            <w:tcW w:w="1403" w:type="dxa"/>
            <w:noWrap/>
            <w:tcMar>
              <w:top w:w="0" w:type="dxa"/>
              <w:left w:w="30" w:type="dxa"/>
              <w:bottom w:w="0" w:type="dxa"/>
              <w:right w:w="30" w:type="dxa"/>
            </w:tcMar>
            <w:hideMark/>
          </w:tcPr>
          <w:p w:rsidR="00435724" w:rsidRPr="005D067E" w:rsidRDefault="00435724" w:rsidP="005B348D">
            <w:pPr>
              <w:spacing w:after="0" w:line="315" w:lineRule="atLeast"/>
              <w:jc w:val="right"/>
              <w:rPr>
                <w:rFonts w:eastAsia="Times New Roman" w:cs="Tahoma"/>
                <w:b/>
                <w:bCs/>
                <w:color w:val="333333"/>
                <w:sz w:val="21"/>
                <w:szCs w:val="21"/>
                <w:lang w:eastAsia="en-AU"/>
              </w:rPr>
            </w:pPr>
            <w:r w:rsidRPr="005D067E">
              <w:rPr>
                <w:rFonts w:eastAsia="Times New Roman" w:cs="Tahoma"/>
                <w:b/>
                <w:bCs/>
                <w:color w:val="333333"/>
                <w:sz w:val="21"/>
                <w:szCs w:val="21"/>
                <w:lang w:eastAsia="en-AU"/>
              </w:rPr>
              <w:t>Collection ID</w:t>
            </w:r>
            <w:r>
              <w:rPr>
                <w:rFonts w:eastAsia="Times New Roman" w:cs="Tahoma"/>
                <w:b/>
                <w:bCs/>
                <w:color w:val="333333"/>
                <w:sz w:val="21"/>
                <w:szCs w:val="21"/>
                <w:lang w:eastAsia="en-AU"/>
              </w:rPr>
              <w:t>:</w:t>
            </w:r>
          </w:p>
        </w:tc>
        <w:tc>
          <w:tcPr>
            <w:tcW w:w="8992" w:type="dxa"/>
            <w:shd w:val="clear" w:color="auto" w:fill="FFFFFF"/>
            <w:tcMar>
              <w:top w:w="60" w:type="dxa"/>
              <w:left w:w="60" w:type="dxa"/>
              <w:bottom w:w="60" w:type="dxa"/>
              <w:right w:w="60" w:type="dxa"/>
            </w:tcMar>
            <w:hideMark/>
          </w:tcPr>
          <w:p w:rsidR="00435724" w:rsidRPr="005D067E" w:rsidRDefault="00435724" w:rsidP="005B348D">
            <w:pPr>
              <w:spacing w:after="0" w:line="315" w:lineRule="atLeast"/>
              <w:rPr>
                <w:rFonts w:eastAsia="Times New Roman" w:cs="Tahoma"/>
                <w:color w:val="333333"/>
                <w:sz w:val="21"/>
                <w:szCs w:val="21"/>
                <w:lang w:eastAsia="en-AU"/>
              </w:rPr>
            </w:pPr>
            <w:r w:rsidRPr="005D067E">
              <w:rPr>
                <w:rFonts w:eastAsia="Times New Roman" w:cs="Tahoma"/>
                <w:color w:val="333333"/>
                <w:sz w:val="21"/>
                <w:szCs w:val="21"/>
                <w:lang w:eastAsia="en-AU"/>
              </w:rPr>
              <w:t>NT5</w:t>
            </w:r>
          </w:p>
        </w:tc>
      </w:tr>
      <w:tr w:rsidR="00435724" w:rsidRPr="005D067E" w:rsidTr="00B21CCC">
        <w:trPr>
          <w:tblCellSpacing w:w="15" w:type="dxa"/>
        </w:trPr>
        <w:tc>
          <w:tcPr>
            <w:tcW w:w="1403" w:type="dxa"/>
            <w:noWrap/>
            <w:tcMar>
              <w:top w:w="0" w:type="dxa"/>
              <w:left w:w="30" w:type="dxa"/>
              <w:bottom w:w="0" w:type="dxa"/>
              <w:right w:w="30" w:type="dxa"/>
            </w:tcMar>
            <w:hideMark/>
          </w:tcPr>
          <w:p w:rsidR="00435724" w:rsidRPr="005D067E" w:rsidRDefault="00435724" w:rsidP="005B348D">
            <w:pPr>
              <w:spacing w:after="0" w:line="315" w:lineRule="atLeast"/>
              <w:jc w:val="right"/>
              <w:rPr>
                <w:rFonts w:eastAsia="Times New Roman" w:cs="Tahoma"/>
                <w:b/>
                <w:bCs/>
                <w:color w:val="333333"/>
                <w:sz w:val="21"/>
                <w:szCs w:val="21"/>
                <w:lang w:eastAsia="en-AU"/>
              </w:rPr>
            </w:pPr>
            <w:r w:rsidRPr="005D067E">
              <w:rPr>
                <w:rFonts w:eastAsia="Times New Roman" w:cs="Tahoma"/>
                <w:b/>
                <w:bCs/>
                <w:color w:val="333333"/>
                <w:sz w:val="21"/>
                <w:szCs w:val="21"/>
                <w:lang w:eastAsia="en-AU"/>
              </w:rPr>
              <w:t>Title</w:t>
            </w:r>
            <w:r>
              <w:rPr>
                <w:rFonts w:eastAsia="Times New Roman" w:cs="Tahoma"/>
                <w:b/>
                <w:bCs/>
                <w:color w:val="333333"/>
                <w:sz w:val="21"/>
                <w:szCs w:val="21"/>
                <w:lang w:eastAsia="en-AU"/>
              </w:rPr>
              <w:t>:</w:t>
            </w:r>
          </w:p>
        </w:tc>
        <w:tc>
          <w:tcPr>
            <w:tcW w:w="8992" w:type="dxa"/>
            <w:shd w:val="clear" w:color="auto" w:fill="FFFFFF"/>
            <w:tcMar>
              <w:top w:w="60" w:type="dxa"/>
              <w:left w:w="60" w:type="dxa"/>
              <w:bottom w:w="60" w:type="dxa"/>
              <w:right w:w="60" w:type="dxa"/>
            </w:tcMar>
            <w:hideMark/>
          </w:tcPr>
          <w:p w:rsidR="00435724" w:rsidRPr="005D067E" w:rsidRDefault="00435724" w:rsidP="005B348D">
            <w:pPr>
              <w:spacing w:after="0" w:line="315" w:lineRule="atLeast"/>
              <w:rPr>
                <w:rFonts w:eastAsia="Times New Roman" w:cs="Tahoma"/>
                <w:color w:val="333333"/>
                <w:sz w:val="21"/>
                <w:szCs w:val="21"/>
                <w:lang w:eastAsia="en-AU"/>
              </w:rPr>
            </w:pPr>
            <w:r w:rsidRPr="005D067E">
              <w:rPr>
                <w:rFonts w:eastAsia="Times New Roman" w:cs="Tahoma"/>
                <w:color w:val="333333"/>
                <w:sz w:val="21"/>
                <w:szCs w:val="21"/>
                <w:lang w:eastAsia="en-AU"/>
              </w:rPr>
              <w:t>South Efate, Vanuatu</w:t>
            </w:r>
          </w:p>
        </w:tc>
      </w:tr>
      <w:tr w:rsidR="00435724" w:rsidRPr="005D067E" w:rsidTr="00B21CCC">
        <w:trPr>
          <w:tblCellSpacing w:w="15" w:type="dxa"/>
        </w:trPr>
        <w:tc>
          <w:tcPr>
            <w:tcW w:w="1403" w:type="dxa"/>
            <w:noWrap/>
            <w:tcMar>
              <w:top w:w="0" w:type="dxa"/>
              <w:left w:w="30" w:type="dxa"/>
              <w:bottom w:w="0" w:type="dxa"/>
              <w:right w:w="30" w:type="dxa"/>
            </w:tcMar>
            <w:hideMark/>
          </w:tcPr>
          <w:p w:rsidR="00435724" w:rsidRPr="005D067E" w:rsidRDefault="00435724" w:rsidP="005B348D">
            <w:pPr>
              <w:spacing w:after="0" w:line="315" w:lineRule="atLeast"/>
              <w:jc w:val="right"/>
              <w:rPr>
                <w:rFonts w:eastAsia="Times New Roman" w:cs="Tahoma"/>
                <w:b/>
                <w:bCs/>
                <w:color w:val="333333"/>
                <w:sz w:val="21"/>
                <w:szCs w:val="21"/>
                <w:lang w:eastAsia="en-AU"/>
              </w:rPr>
            </w:pPr>
            <w:r w:rsidRPr="005D067E">
              <w:rPr>
                <w:rFonts w:eastAsia="Times New Roman" w:cs="Tahoma"/>
                <w:b/>
                <w:bCs/>
                <w:color w:val="333333"/>
                <w:sz w:val="21"/>
                <w:szCs w:val="21"/>
                <w:lang w:eastAsia="en-AU"/>
              </w:rPr>
              <w:t>Description</w:t>
            </w:r>
            <w:r>
              <w:rPr>
                <w:rFonts w:eastAsia="Times New Roman" w:cs="Tahoma"/>
                <w:b/>
                <w:bCs/>
                <w:color w:val="333333"/>
                <w:sz w:val="21"/>
                <w:szCs w:val="21"/>
                <w:lang w:eastAsia="en-AU"/>
              </w:rPr>
              <w:t>:</w:t>
            </w:r>
          </w:p>
        </w:tc>
        <w:tc>
          <w:tcPr>
            <w:tcW w:w="8992" w:type="dxa"/>
            <w:shd w:val="clear" w:color="auto" w:fill="FFFFFF"/>
            <w:tcMar>
              <w:top w:w="60" w:type="dxa"/>
              <w:left w:w="60" w:type="dxa"/>
              <w:bottom w:w="60" w:type="dxa"/>
              <w:right w:w="60" w:type="dxa"/>
            </w:tcMar>
            <w:hideMark/>
          </w:tcPr>
          <w:p w:rsidR="00435724" w:rsidRPr="005D067E" w:rsidRDefault="00435724" w:rsidP="005B348D">
            <w:pPr>
              <w:spacing w:after="0" w:line="315" w:lineRule="atLeast"/>
              <w:rPr>
                <w:rFonts w:eastAsia="Times New Roman" w:cs="Tahoma"/>
                <w:color w:val="333333"/>
                <w:sz w:val="21"/>
                <w:szCs w:val="21"/>
                <w:lang w:eastAsia="en-AU"/>
              </w:rPr>
            </w:pPr>
            <w:r w:rsidRPr="005D067E">
              <w:rPr>
                <w:rFonts w:eastAsia="Times New Roman" w:cs="Tahoma"/>
                <w:color w:val="333333"/>
                <w:sz w:val="21"/>
                <w:szCs w:val="21"/>
                <w:lang w:eastAsia="en-AU"/>
              </w:rPr>
              <w:t>NT5 is a set of audio and video recordings and transcripts from fieldwork between 2000 and 2008. </w:t>
            </w:r>
            <w:r>
              <w:rPr>
                <w:rFonts w:eastAsia="Times New Roman" w:cs="Tahoma"/>
                <w:color w:val="333333"/>
                <w:sz w:val="21"/>
                <w:szCs w:val="21"/>
                <w:lang w:eastAsia="en-AU"/>
              </w:rPr>
              <w:t xml:space="preserve"> </w:t>
            </w:r>
            <w:r w:rsidRPr="005D067E">
              <w:rPr>
                <w:rFonts w:eastAsia="Times New Roman" w:cs="Tahoma"/>
                <w:color w:val="333333"/>
                <w:sz w:val="21"/>
                <w:szCs w:val="21"/>
                <w:lang w:eastAsia="en-AU"/>
              </w:rPr>
              <w:t>It includes additional fieldwork in the Lelepa language, mainly on Lelepa Island. </w:t>
            </w:r>
          </w:p>
        </w:tc>
      </w:tr>
    </w:tbl>
    <w:p w:rsidR="00435724" w:rsidRDefault="00435724" w:rsidP="00435724"/>
    <w:p w:rsidR="00435724" w:rsidRDefault="00435724" w:rsidP="00435724">
      <w:r>
        <w:t xml:space="preserve">LB3: </w:t>
      </w:r>
      <w:hyperlink r:id="rId10" w:history="1">
        <w:r w:rsidRPr="00BE6E5C">
          <w:rPr>
            <w:rStyle w:val="Hyperlink"/>
          </w:rPr>
          <w:t>http://catalog.paradisec.org.au/collections/LB3</w:t>
        </w:r>
      </w:hyperlink>
    </w:p>
    <w:tbl>
      <w:tblPr>
        <w:tblW w:w="10485" w:type="dxa"/>
        <w:tblCellSpacing w:w="1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305"/>
        <w:gridCol w:w="9180"/>
      </w:tblGrid>
      <w:tr w:rsidR="00435724" w:rsidRPr="00EE7883" w:rsidTr="00B21CCC">
        <w:trPr>
          <w:tblCellSpacing w:w="15" w:type="dxa"/>
        </w:trPr>
        <w:tc>
          <w:tcPr>
            <w:tcW w:w="0" w:type="auto"/>
            <w:noWrap/>
            <w:tcMar>
              <w:top w:w="0" w:type="dxa"/>
              <w:left w:w="30" w:type="dxa"/>
              <w:bottom w:w="0" w:type="dxa"/>
              <w:right w:w="30" w:type="dxa"/>
            </w:tcMar>
            <w:hideMark/>
          </w:tcPr>
          <w:p w:rsidR="00435724" w:rsidRPr="00EE7883" w:rsidRDefault="00435724" w:rsidP="005B348D">
            <w:pPr>
              <w:spacing w:after="0" w:line="315" w:lineRule="atLeast"/>
              <w:jc w:val="right"/>
              <w:rPr>
                <w:rFonts w:eastAsia="Times New Roman" w:cs="Tahoma"/>
                <w:b/>
                <w:bCs/>
                <w:color w:val="333333"/>
                <w:sz w:val="21"/>
                <w:szCs w:val="21"/>
                <w:lang w:eastAsia="en-AU"/>
              </w:rPr>
            </w:pPr>
            <w:r w:rsidRPr="00EE7883">
              <w:rPr>
                <w:rFonts w:eastAsia="Times New Roman" w:cs="Tahoma"/>
                <w:b/>
                <w:bCs/>
                <w:color w:val="333333"/>
                <w:sz w:val="21"/>
                <w:szCs w:val="21"/>
                <w:lang w:eastAsia="en-AU"/>
              </w:rPr>
              <w:t>Collection ID</w:t>
            </w:r>
            <w:r>
              <w:rPr>
                <w:rFonts w:eastAsia="Times New Roman" w:cs="Tahoma"/>
                <w:b/>
                <w:bCs/>
                <w:color w:val="333333"/>
                <w:sz w:val="21"/>
                <w:szCs w:val="21"/>
                <w:lang w:eastAsia="en-AU"/>
              </w:rPr>
              <w:t>:</w:t>
            </w:r>
          </w:p>
        </w:tc>
        <w:tc>
          <w:tcPr>
            <w:tcW w:w="9135" w:type="dxa"/>
            <w:shd w:val="clear" w:color="auto" w:fill="FFFFFF"/>
            <w:tcMar>
              <w:top w:w="60" w:type="dxa"/>
              <w:left w:w="60" w:type="dxa"/>
              <w:bottom w:w="60" w:type="dxa"/>
              <w:right w:w="60" w:type="dxa"/>
            </w:tcMar>
            <w:hideMark/>
          </w:tcPr>
          <w:p w:rsidR="00435724" w:rsidRPr="00EE7883" w:rsidRDefault="00435724" w:rsidP="005B348D">
            <w:pPr>
              <w:spacing w:after="0" w:line="315" w:lineRule="atLeast"/>
              <w:rPr>
                <w:rFonts w:eastAsia="Times New Roman" w:cs="Tahoma"/>
                <w:color w:val="333333"/>
                <w:sz w:val="21"/>
                <w:szCs w:val="21"/>
                <w:lang w:eastAsia="en-AU"/>
              </w:rPr>
            </w:pPr>
            <w:r w:rsidRPr="00EE7883">
              <w:rPr>
                <w:rFonts w:eastAsia="Times New Roman" w:cs="Tahoma"/>
                <w:color w:val="333333"/>
                <w:sz w:val="21"/>
                <w:szCs w:val="21"/>
                <w:lang w:eastAsia="en-AU"/>
              </w:rPr>
              <w:t>LB3</w:t>
            </w:r>
          </w:p>
        </w:tc>
      </w:tr>
      <w:tr w:rsidR="00435724" w:rsidRPr="00EE7883" w:rsidTr="00B21CCC">
        <w:trPr>
          <w:tblCellSpacing w:w="15" w:type="dxa"/>
        </w:trPr>
        <w:tc>
          <w:tcPr>
            <w:tcW w:w="0" w:type="auto"/>
            <w:noWrap/>
            <w:tcMar>
              <w:top w:w="0" w:type="dxa"/>
              <w:left w:w="30" w:type="dxa"/>
              <w:bottom w:w="0" w:type="dxa"/>
              <w:right w:w="30" w:type="dxa"/>
            </w:tcMar>
            <w:hideMark/>
          </w:tcPr>
          <w:p w:rsidR="00435724" w:rsidRPr="00EE7883" w:rsidRDefault="00435724" w:rsidP="005B348D">
            <w:pPr>
              <w:spacing w:after="0" w:line="315" w:lineRule="atLeast"/>
              <w:jc w:val="right"/>
              <w:rPr>
                <w:rFonts w:eastAsia="Times New Roman" w:cs="Tahoma"/>
                <w:b/>
                <w:bCs/>
                <w:color w:val="333333"/>
                <w:sz w:val="21"/>
                <w:szCs w:val="21"/>
                <w:lang w:eastAsia="en-AU"/>
              </w:rPr>
            </w:pPr>
            <w:r w:rsidRPr="00EE7883">
              <w:rPr>
                <w:rFonts w:eastAsia="Times New Roman" w:cs="Tahoma"/>
                <w:b/>
                <w:bCs/>
                <w:color w:val="333333"/>
                <w:sz w:val="21"/>
                <w:szCs w:val="21"/>
                <w:lang w:eastAsia="en-AU"/>
              </w:rPr>
              <w:t>Title</w:t>
            </w:r>
            <w:r>
              <w:rPr>
                <w:rFonts w:eastAsia="Times New Roman" w:cs="Tahoma"/>
                <w:b/>
                <w:bCs/>
                <w:color w:val="333333"/>
                <w:sz w:val="21"/>
                <w:szCs w:val="21"/>
                <w:lang w:eastAsia="en-AU"/>
              </w:rPr>
              <w:t>:</w:t>
            </w:r>
          </w:p>
        </w:tc>
        <w:tc>
          <w:tcPr>
            <w:tcW w:w="9135" w:type="dxa"/>
            <w:shd w:val="clear" w:color="auto" w:fill="FFFFFF"/>
            <w:tcMar>
              <w:top w:w="60" w:type="dxa"/>
              <w:left w:w="60" w:type="dxa"/>
              <w:bottom w:w="60" w:type="dxa"/>
              <w:right w:w="60" w:type="dxa"/>
            </w:tcMar>
            <w:hideMark/>
          </w:tcPr>
          <w:p w:rsidR="00435724" w:rsidRPr="00EE7883" w:rsidRDefault="00435724" w:rsidP="005B348D">
            <w:pPr>
              <w:spacing w:after="0" w:line="315" w:lineRule="atLeast"/>
              <w:rPr>
                <w:rFonts w:eastAsia="Times New Roman" w:cs="Tahoma"/>
                <w:color w:val="333333"/>
                <w:sz w:val="21"/>
                <w:szCs w:val="21"/>
                <w:lang w:eastAsia="en-AU"/>
              </w:rPr>
            </w:pPr>
            <w:r w:rsidRPr="00EE7883">
              <w:rPr>
                <w:rFonts w:eastAsia="Times New Roman" w:cs="Tahoma"/>
                <w:color w:val="333333"/>
                <w:sz w:val="21"/>
                <w:szCs w:val="21"/>
                <w:lang w:eastAsia="en-AU"/>
              </w:rPr>
              <w:t>Italian dialect questionnaires for Marchigiano dialects from the province of Ascoli Piceno</w:t>
            </w:r>
          </w:p>
        </w:tc>
      </w:tr>
      <w:tr w:rsidR="00435724" w:rsidRPr="00EE7883" w:rsidTr="00B21CCC">
        <w:trPr>
          <w:tblCellSpacing w:w="15" w:type="dxa"/>
        </w:trPr>
        <w:tc>
          <w:tcPr>
            <w:tcW w:w="0" w:type="auto"/>
            <w:noWrap/>
            <w:tcMar>
              <w:top w:w="0" w:type="dxa"/>
              <w:left w:w="30" w:type="dxa"/>
              <w:bottom w:w="0" w:type="dxa"/>
              <w:right w:w="30" w:type="dxa"/>
            </w:tcMar>
            <w:hideMark/>
          </w:tcPr>
          <w:p w:rsidR="00435724" w:rsidRPr="00EE7883" w:rsidRDefault="00435724" w:rsidP="005B348D">
            <w:pPr>
              <w:spacing w:after="0" w:line="315" w:lineRule="atLeast"/>
              <w:jc w:val="right"/>
              <w:rPr>
                <w:rFonts w:eastAsia="Times New Roman" w:cs="Tahoma"/>
                <w:b/>
                <w:bCs/>
                <w:color w:val="333333"/>
                <w:sz w:val="21"/>
                <w:szCs w:val="21"/>
                <w:lang w:eastAsia="en-AU"/>
              </w:rPr>
            </w:pPr>
            <w:r w:rsidRPr="00EE7883">
              <w:rPr>
                <w:rFonts w:eastAsia="Times New Roman" w:cs="Tahoma"/>
                <w:b/>
                <w:bCs/>
                <w:color w:val="333333"/>
                <w:sz w:val="21"/>
                <w:szCs w:val="21"/>
                <w:lang w:eastAsia="en-AU"/>
              </w:rPr>
              <w:t>Description</w:t>
            </w:r>
            <w:r>
              <w:rPr>
                <w:rFonts w:eastAsia="Times New Roman" w:cs="Tahoma"/>
                <w:b/>
                <w:bCs/>
                <w:color w:val="333333"/>
                <w:sz w:val="21"/>
                <w:szCs w:val="21"/>
                <w:lang w:eastAsia="en-AU"/>
              </w:rPr>
              <w:t>:</w:t>
            </w:r>
          </w:p>
        </w:tc>
        <w:tc>
          <w:tcPr>
            <w:tcW w:w="9135" w:type="dxa"/>
            <w:shd w:val="clear" w:color="auto" w:fill="FFFFFF"/>
            <w:tcMar>
              <w:top w:w="60" w:type="dxa"/>
              <w:left w:w="60" w:type="dxa"/>
              <w:bottom w:w="60" w:type="dxa"/>
              <w:right w:w="60" w:type="dxa"/>
            </w:tcMar>
            <w:hideMark/>
          </w:tcPr>
          <w:p w:rsidR="00435724" w:rsidRPr="00EE7883" w:rsidRDefault="00435724" w:rsidP="005B348D">
            <w:pPr>
              <w:spacing w:after="0" w:line="315" w:lineRule="atLeast"/>
              <w:rPr>
                <w:rFonts w:eastAsia="Times New Roman" w:cs="Tahoma"/>
                <w:color w:val="333333"/>
                <w:sz w:val="21"/>
                <w:szCs w:val="21"/>
                <w:lang w:eastAsia="en-AU"/>
              </w:rPr>
            </w:pPr>
            <w:r w:rsidRPr="00EE7883">
              <w:rPr>
                <w:rFonts w:eastAsia="Times New Roman" w:cs="Tahoma"/>
                <w:color w:val="333333"/>
                <w:sz w:val="21"/>
                <w:szCs w:val="21"/>
                <w:lang w:eastAsia="en-AU"/>
              </w:rPr>
              <w:t>Italian dialect questionnaires (Carta dei Dialetti Italiani) collected from speakers of southern Marchigiano dialects from the province of Ascoli Piceno (communes of Appignano del Tronto and Castel di Lama) resident in Adelaide (South Australia). The study was later also extended to relatives resident in Ascoli Piceno. Undertaken by Linda Bone (Barwick) as an honours assignment for Italian Dialectology course taught by Antonio Comin, Flinders University, 1980.</w:t>
            </w:r>
          </w:p>
        </w:tc>
      </w:tr>
    </w:tbl>
    <w:p w:rsidR="00A94207" w:rsidRDefault="00A94207" w:rsidP="00435724"/>
    <w:p w:rsidR="00435724" w:rsidRDefault="00435724" w:rsidP="001256BA">
      <w:pPr>
        <w:keepNext/>
      </w:pPr>
      <w:r>
        <w:lastRenderedPageBreak/>
        <w:t>You may have more than one collection, depending on how you want to organise your data.  This is fine, just repeat the processes as needed.</w:t>
      </w:r>
    </w:p>
    <w:p w:rsidR="00435724" w:rsidRDefault="00B64032" w:rsidP="001256BA">
      <w:pPr>
        <w:keepNext/>
      </w:pPr>
      <w:r>
        <w:t>At this point, s</w:t>
      </w:r>
      <w:r w:rsidR="00435724">
        <w:t xml:space="preserve">end </w:t>
      </w:r>
      <w:r w:rsidR="001256BA">
        <w:t>PARADISEC</w:t>
      </w:r>
      <w:r w:rsidR="00435724">
        <w:t xml:space="preserve"> the following details:</w:t>
      </w:r>
    </w:p>
    <w:p w:rsidR="00435724" w:rsidRDefault="00B64032" w:rsidP="001256BA">
      <w:pPr>
        <w:pStyle w:val="ListParagraph"/>
        <w:keepNext/>
        <w:numPr>
          <w:ilvl w:val="0"/>
          <w:numId w:val="1"/>
        </w:numPr>
      </w:pPr>
      <w:r>
        <w:t>Collection ID: XX</w:t>
      </w:r>
      <w:r w:rsidR="00435724">
        <w:t>##, e.g. KH01 (Ken Hale, Collection #1)</w:t>
      </w:r>
    </w:p>
    <w:p w:rsidR="00435724" w:rsidRDefault="00435724" w:rsidP="001256BA">
      <w:pPr>
        <w:pStyle w:val="ListParagraph"/>
        <w:keepNext/>
        <w:numPr>
          <w:ilvl w:val="0"/>
          <w:numId w:val="1"/>
        </w:numPr>
      </w:pPr>
      <w:r>
        <w:t xml:space="preserve">Collection </w:t>
      </w:r>
      <w:r w:rsidR="00B64032">
        <w:t>T</w:t>
      </w:r>
      <w:r>
        <w:t>itle: (brief description, see above)</w:t>
      </w:r>
    </w:p>
    <w:p w:rsidR="00435724" w:rsidRDefault="00435724" w:rsidP="00435724">
      <w:pPr>
        <w:pStyle w:val="ListParagraph"/>
        <w:numPr>
          <w:ilvl w:val="0"/>
          <w:numId w:val="1"/>
        </w:numPr>
      </w:pPr>
      <w:r>
        <w:t>Collection Description: (longer prose description, see above)</w:t>
      </w:r>
    </w:p>
    <w:p w:rsidR="00435724" w:rsidRPr="00583B99" w:rsidRDefault="00435724" w:rsidP="00583B99">
      <w:pPr>
        <w:pStyle w:val="Heading1"/>
      </w:pPr>
      <w:bookmarkStart w:id="2" w:name="_Organise_your_files"/>
      <w:bookmarkEnd w:id="2"/>
      <w:r w:rsidRPr="00583B99">
        <w:t>Organise your files</w:t>
      </w:r>
    </w:p>
    <w:p w:rsidR="00435724" w:rsidRDefault="00435724" w:rsidP="00435724">
      <w:r>
        <w:t xml:space="preserve">Get your </w:t>
      </w:r>
      <w:r w:rsidR="00E84B7F">
        <w:t>files</w:t>
      </w:r>
      <w:r>
        <w:t xml:space="preserve"> in the correct shape to upload to PARADISEC (</w:t>
      </w:r>
      <w:r w:rsidR="00D93625">
        <w:t xml:space="preserve">see </w:t>
      </w:r>
      <w:r>
        <w:rPr>
          <w:rStyle w:val="IntenseReference"/>
        </w:rPr>
        <w:t>File Naming for PARADISEC archiving</w:t>
      </w:r>
      <w:r>
        <w:t>)</w:t>
      </w:r>
      <w:r w:rsidR="00A35667">
        <w:t>.</w:t>
      </w:r>
    </w:p>
    <w:p w:rsidR="00435724" w:rsidRPr="00E61011" w:rsidRDefault="00435724" w:rsidP="00E61011">
      <w:pPr>
        <w:pStyle w:val="Heading1"/>
      </w:pPr>
      <w:bookmarkStart w:id="3" w:name="_Fill_in_Metadata"/>
      <w:bookmarkEnd w:id="3"/>
      <w:r w:rsidRPr="00E61011">
        <w:t>Fill in Metadata sheet</w:t>
      </w:r>
    </w:p>
    <w:p w:rsidR="00435724" w:rsidRDefault="00435724" w:rsidP="00435724">
      <w:r>
        <w:t xml:space="preserve">Download the minimal metadata Sheet </w:t>
      </w:r>
      <w:r w:rsidR="003169E1">
        <w:t xml:space="preserve">and fill in all the </w:t>
      </w:r>
      <w:r>
        <w:t>fields.</w:t>
      </w:r>
      <w:r w:rsidR="003169E1">
        <w:t xml:space="preserve"> </w:t>
      </w:r>
      <w:r w:rsidR="00D93625">
        <w:t>PARADISEC</w:t>
      </w:r>
      <w:r w:rsidR="003169E1">
        <w:t xml:space="preserve"> must receive this form before</w:t>
      </w:r>
      <w:r w:rsidR="003923E9">
        <w:t xml:space="preserve"> you send files to be archived </w:t>
      </w:r>
      <w:r w:rsidR="003169E1">
        <w:t xml:space="preserve">(see </w:t>
      </w:r>
      <w:r w:rsidR="003169E1">
        <w:rPr>
          <w:rStyle w:val="IntenseReference"/>
        </w:rPr>
        <w:t>Metadata Instructions</w:t>
      </w:r>
      <w:r w:rsidR="00D93625">
        <w:t>).</w:t>
      </w:r>
    </w:p>
    <w:p w:rsidR="00435724" w:rsidRDefault="00435724" w:rsidP="00435724">
      <w:pPr>
        <w:pStyle w:val="Heading1"/>
      </w:pPr>
      <w:bookmarkStart w:id="4" w:name="_Fill_out_a"/>
      <w:bookmarkEnd w:id="4"/>
      <w:r w:rsidRPr="00F3239C">
        <w:t>Fill out a Deposit Form</w:t>
      </w:r>
    </w:p>
    <w:p w:rsidR="00435724" w:rsidRPr="00AC3479" w:rsidRDefault="00A27162" w:rsidP="00435724">
      <w:pPr>
        <w:rPr>
          <w:b/>
          <w:smallCaps/>
        </w:rPr>
      </w:pPr>
      <w:r w:rsidRPr="00A27162">
        <w:t>Depositors can specify conditions on the use of their data in a deposit form. Material stored in PARADISEC is available subject to the conditions set out by the depositor and only registered users can access primary records.</w:t>
      </w:r>
      <w:r>
        <w:t xml:space="preserve"> See</w:t>
      </w:r>
      <w:r w:rsidR="00D93625">
        <w:rPr>
          <w:b/>
          <w:smallCaps/>
          <w:color w:val="5B9BD5" w:themeColor="accent1"/>
        </w:rPr>
        <w:t xml:space="preserve"> </w:t>
      </w:r>
      <w:r w:rsidR="00240B68" w:rsidRPr="00240B68">
        <w:rPr>
          <w:b/>
          <w:smallCaps/>
          <w:color w:val="5B9BD5" w:themeColor="accent1"/>
        </w:rPr>
        <w:t>PARADISEC Deposit Form</w:t>
      </w:r>
      <w:r w:rsidRPr="00A27162">
        <w:t xml:space="preserve"> </w:t>
      </w:r>
      <w:r>
        <w:t>for more details about access conditions. This will help inform your decision in setting access to the items in your collection.</w:t>
      </w:r>
    </w:p>
    <w:p w:rsidR="00435724" w:rsidRDefault="00435724" w:rsidP="00435724">
      <w:pPr>
        <w:pStyle w:val="Heading1"/>
      </w:pPr>
      <w:bookmarkStart w:id="5" w:name="_Send_files_to"/>
      <w:bookmarkEnd w:id="5"/>
      <w:r>
        <w:t>Send</w:t>
      </w:r>
      <w:r w:rsidR="00A94207">
        <w:t>ing your</w:t>
      </w:r>
      <w:r>
        <w:t xml:space="preserve"> files to </w:t>
      </w:r>
      <w:r w:rsidR="00A94207">
        <w:t>the archive</w:t>
      </w:r>
    </w:p>
    <w:p w:rsidR="00106AE7" w:rsidRDefault="00325256" w:rsidP="00106AE7">
      <w:r>
        <w:t>You cannot upload your files directly into the PARADISEC archive. However, we offer ma</w:t>
      </w:r>
      <w:r w:rsidR="004C7632">
        <w:t>n</w:t>
      </w:r>
      <w:r w:rsidR="007257CD">
        <w:t>y ways to get your files to us.</w:t>
      </w:r>
    </w:p>
    <w:p w:rsidR="00325256" w:rsidRDefault="00106AE7" w:rsidP="007257CD">
      <w:pPr>
        <w:pStyle w:val="ListParagraph"/>
        <w:numPr>
          <w:ilvl w:val="0"/>
          <w:numId w:val="4"/>
        </w:numPr>
      </w:pPr>
      <w:r>
        <w:t>If you are part of a NZ or AUS institution, you have access to Cloudstor (</w:t>
      </w:r>
      <w:hyperlink r:id="rId11" w:history="1">
        <w:r w:rsidRPr="00905B2A">
          <w:rPr>
            <w:rStyle w:val="Hyperlink"/>
          </w:rPr>
          <w:t>https://www.aarnet.edu.au/network-and-services/cloud-services-applications/cloudstor</w:t>
        </w:r>
      </w:hyperlink>
      <w:r>
        <w:t>), a program similar to Dropbox, but backed and supported by</w:t>
      </w:r>
      <w:r w:rsidRPr="00106AE7">
        <w:t xml:space="preserve"> </w:t>
      </w:r>
      <w:r>
        <w:t xml:space="preserve">the </w:t>
      </w:r>
      <w:r w:rsidRPr="00106AE7">
        <w:t>Australian national research and education network</w:t>
      </w:r>
      <w:r>
        <w:t xml:space="preserve"> AAARNet (</w:t>
      </w:r>
      <w:hyperlink r:id="rId12" w:history="1">
        <w:r w:rsidRPr="00905B2A">
          <w:rPr>
            <w:rStyle w:val="Hyperlink"/>
          </w:rPr>
          <w:t>https://www.aarnet.edu.au/</w:t>
        </w:r>
      </w:hyperlink>
      <w:r>
        <w:t>).</w:t>
      </w:r>
    </w:p>
    <w:p w:rsidR="00325256" w:rsidRDefault="00325256" w:rsidP="007257CD">
      <w:pPr>
        <w:spacing w:before="120"/>
        <w:ind w:left="720"/>
      </w:pPr>
      <w:r>
        <w:t xml:space="preserve">Create a </w:t>
      </w:r>
      <w:r w:rsidR="00D93580">
        <w:t>Cloudstor account-- y</w:t>
      </w:r>
      <w:r w:rsidR="004C7632">
        <w:t>ou have 100</w:t>
      </w:r>
      <w:r w:rsidR="00D93580">
        <w:t xml:space="preserve"> </w:t>
      </w:r>
      <w:r w:rsidR="004C7632">
        <w:t>Gb free storage</w:t>
      </w:r>
      <w:r w:rsidR="00D93580">
        <w:t xml:space="preserve"> available to you instantly</w:t>
      </w:r>
      <w:r w:rsidR="004C7632">
        <w:t>. This can be an easy means to transfer files. These can be files that are ready to archive, or files that need further processing (videos transcoded from .MTS to .mp4 or .mov</w:t>
      </w:r>
      <w:r w:rsidR="00536534">
        <w:t xml:space="preserve"> so that you can use them with e</w:t>
      </w:r>
      <w:r w:rsidR="004C7632">
        <w:t xml:space="preserve">lan, bulk audio files needing resampling, etc). For </w:t>
      </w:r>
      <w:r w:rsidR="00106AE7">
        <w:t>specific</w:t>
      </w:r>
      <w:r w:rsidR="004C7632">
        <w:t xml:space="preserve"> information on Cloudstor, see </w:t>
      </w:r>
      <w:r w:rsidR="00640B1F">
        <w:rPr>
          <w:rStyle w:val="IntenseReference"/>
        </w:rPr>
        <w:t>Data storage</w:t>
      </w:r>
      <w:r w:rsidR="00640B1F">
        <w:t>.</w:t>
      </w:r>
    </w:p>
    <w:p w:rsidR="00D90B5D" w:rsidRDefault="00D90B5D" w:rsidP="00D90B5D">
      <w:pPr>
        <w:pStyle w:val="ListParagraph"/>
        <w:spacing w:before="120"/>
        <w:ind w:left="425"/>
      </w:pPr>
    </w:p>
    <w:p w:rsidR="00435724" w:rsidRDefault="00D90B5D" w:rsidP="00D90B5D">
      <w:pPr>
        <w:pStyle w:val="ListParagraph"/>
        <w:numPr>
          <w:ilvl w:val="0"/>
          <w:numId w:val="3"/>
        </w:numPr>
        <w:ind w:left="426"/>
      </w:pPr>
      <w:r>
        <w:t xml:space="preserve">Or you can always choose to post or hand deliver a hard drive to </w:t>
      </w:r>
      <w:r w:rsidR="00203356">
        <w:t>PARADISEC</w:t>
      </w:r>
      <w:r>
        <w:t>:</w:t>
      </w:r>
      <w:bookmarkStart w:id="6" w:name="_GoBack"/>
      <w:bookmarkEnd w:id="6"/>
    </w:p>
    <w:p w:rsidR="00203356" w:rsidRDefault="00203356" w:rsidP="00203356">
      <w:pPr>
        <w:spacing w:after="0" w:line="240" w:lineRule="auto"/>
        <w:ind w:left="720"/>
      </w:pPr>
      <w:r>
        <w:t>Pacific and Regional Archive for Digital Sources in Endangered Cultures</w:t>
      </w:r>
    </w:p>
    <w:p w:rsidR="00203356" w:rsidRDefault="00203356" w:rsidP="00203356">
      <w:pPr>
        <w:spacing w:after="0" w:line="240" w:lineRule="auto"/>
        <w:ind w:left="720"/>
      </w:pPr>
      <w:r>
        <w:t>Sydney Conservatorium of Music, C41</w:t>
      </w:r>
    </w:p>
    <w:p w:rsidR="00203356" w:rsidRDefault="00203356" w:rsidP="00203356">
      <w:pPr>
        <w:spacing w:after="0" w:line="240" w:lineRule="auto"/>
        <w:ind w:left="720"/>
      </w:pPr>
      <w:r>
        <w:t>University of Sydney NSW 2006</w:t>
      </w:r>
    </w:p>
    <w:p w:rsidR="00203356" w:rsidRDefault="00203356" w:rsidP="00203356">
      <w:pPr>
        <w:spacing w:after="0" w:line="240" w:lineRule="auto"/>
        <w:ind w:left="720"/>
      </w:pPr>
      <w:r>
        <w:t>Tel: +61 2 9351 1279</w:t>
      </w:r>
    </w:p>
    <w:p w:rsidR="00D90B5D" w:rsidRPr="00D90B5D" w:rsidRDefault="00203356" w:rsidP="00203356">
      <w:pPr>
        <w:spacing w:after="0" w:line="240" w:lineRule="auto"/>
        <w:ind w:left="720"/>
      </w:pPr>
      <w:r>
        <w:t>Fax: +61 2 9351 1287</w:t>
      </w:r>
    </w:p>
    <w:p w:rsidR="00EA2530" w:rsidRPr="00435724" w:rsidRDefault="00EA2530" w:rsidP="00435724"/>
    <w:sectPr w:rsidR="00EA2530" w:rsidRPr="00435724" w:rsidSect="007D31D1">
      <w:headerReference w:type="default" r:id="rId13"/>
      <w:footerReference w:type="default" r:id="rId14"/>
      <w:pgSz w:w="11906" w:h="16838"/>
      <w:pgMar w:top="720" w:right="720" w:bottom="720" w:left="720"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1EC" w:rsidRDefault="005F01EC" w:rsidP="005F01EC">
      <w:pPr>
        <w:spacing w:after="0" w:line="240" w:lineRule="auto"/>
      </w:pPr>
      <w:r>
        <w:separator/>
      </w:r>
    </w:p>
  </w:endnote>
  <w:endnote w:type="continuationSeparator" w:id="0">
    <w:p w:rsidR="005F01EC" w:rsidRDefault="005F01EC" w:rsidP="005F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D1" w:rsidRDefault="007D31D1" w:rsidP="005F01EC">
    <w:pPr>
      <w:pStyle w:val="Footer"/>
      <w:jc w:val="right"/>
      <w:rPr>
        <w:rStyle w:val="Hyperlink"/>
        <w:b/>
        <w:bCs/>
        <w:smallCaps/>
        <w:color w:val="5B9BD5" w:themeColor="accent1"/>
        <w:spacing w:val="5"/>
        <w:sz w:val="16"/>
        <w:szCs w:val="16"/>
        <w:u w:val="none"/>
      </w:rPr>
    </w:pPr>
  </w:p>
  <w:p w:rsidR="005F01EC" w:rsidRPr="005F01EC" w:rsidRDefault="00F4508B" w:rsidP="005F01EC">
    <w:pPr>
      <w:pStyle w:val="Footer"/>
      <w:jc w:val="right"/>
      <w:rPr>
        <w:sz w:val="16"/>
        <w:szCs w:val="16"/>
      </w:rPr>
    </w:pPr>
    <w:sdt>
      <w:sdtPr>
        <w:rPr>
          <w:rStyle w:val="Hyperlink"/>
          <w:b/>
          <w:bCs/>
          <w:smallCaps/>
          <w:color w:val="5B9BD5" w:themeColor="accent1"/>
          <w:spacing w:val="5"/>
          <w:sz w:val="20"/>
          <w:szCs w:val="20"/>
          <w:u w:val="none"/>
        </w:rPr>
        <w:alias w:val="Title"/>
        <w:tag w:val=""/>
        <w:id w:val="407496007"/>
        <w:dataBinding w:prefixMappings="xmlns:ns0='http://purl.org/dc/elements/1.1/' xmlns:ns1='http://schemas.openxmlformats.org/package/2006/metadata/core-properties' " w:xpath="/ns1:coreProperties[1]/ns0:title[1]" w:storeItemID="{6C3C8BC8-F283-45AE-878A-BAB7291924A1}"/>
        <w:text/>
      </w:sdtPr>
      <w:sdtEndPr>
        <w:rPr>
          <w:rStyle w:val="Hyperlink"/>
        </w:rPr>
      </w:sdtEndPr>
      <w:sdtContent>
        <w:r w:rsidR="00EB5D74">
          <w:rPr>
            <w:rStyle w:val="Hyperlink"/>
            <w:b/>
            <w:bCs/>
            <w:smallCaps/>
            <w:color w:val="5B9BD5" w:themeColor="accent1"/>
            <w:spacing w:val="5"/>
            <w:sz w:val="20"/>
            <w:szCs w:val="20"/>
            <w:u w:val="none"/>
          </w:rPr>
          <w:t>Getting started with PARADISEC</w:t>
        </w:r>
      </w:sdtContent>
    </w:sdt>
    <w:r w:rsidR="005F01EC" w:rsidRPr="005F01EC">
      <w:rPr>
        <w:caps/>
        <w:color w:val="808080" w:themeColor="background1" w:themeShade="80"/>
        <w:sz w:val="16"/>
        <w:szCs w:val="16"/>
      </w:rPr>
      <w:t> | </w:t>
    </w:r>
    <w:sdt>
      <w:sdtPr>
        <w:rPr>
          <w:color w:val="7F7F7F" w:themeColor="text1" w:themeTint="80"/>
          <w:sz w:val="16"/>
          <w:szCs w:val="16"/>
        </w:rPr>
        <w:alias w:val="Subtitle"/>
        <w:tag w:val=""/>
        <w:id w:val="893844757"/>
        <w:dataBinding w:prefixMappings="xmlns:ns0='http://purl.org/dc/elements/1.1/' xmlns:ns1='http://schemas.openxmlformats.org/package/2006/metadata/core-properties' " w:xpath="/ns1:coreProperties[1]/ns0:subject[1]" w:storeItemID="{6C3C8BC8-F283-45AE-878A-BAB7291924A1}"/>
        <w:text/>
      </w:sdtPr>
      <w:sdtEndPr/>
      <w:sdtContent>
        <w:r w:rsidR="005F01EC" w:rsidRPr="00283F2A">
          <w:rPr>
            <w:color w:val="7F7F7F" w:themeColor="text1" w:themeTint="80"/>
            <w:sz w:val="16"/>
            <w:szCs w:val="16"/>
          </w:rPr>
          <w:t xml:space="preserve">Last updated </w:t>
        </w:r>
        <w:r w:rsidR="00322893">
          <w:rPr>
            <w:color w:val="7F7F7F" w:themeColor="text1" w:themeTint="80"/>
            <w:sz w:val="16"/>
            <w:szCs w:val="16"/>
          </w:rPr>
          <w:t>July</w:t>
        </w:r>
        <w:r w:rsidR="005F01EC" w:rsidRPr="00283F2A">
          <w:rPr>
            <w:color w:val="7F7F7F" w:themeColor="text1" w:themeTint="80"/>
            <w:sz w:val="16"/>
            <w:szCs w:val="16"/>
          </w:rPr>
          <w:t xml:space="preserve"> 2016</w:t>
        </w:r>
      </w:sdtContent>
    </w:sdt>
  </w:p>
  <w:p w:rsidR="005F01EC" w:rsidRPr="005F01EC" w:rsidRDefault="00114BF5">
    <w:pPr>
      <w:pStyle w:val="Footer"/>
      <w:rPr>
        <w:sz w:val="16"/>
        <w:szCs w:val="16"/>
      </w:rPr>
    </w:pPr>
    <w:r w:rsidRPr="00114BF5">
      <w:rPr>
        <w:sz w:val="16"/>
        <w:szCs w:val="16"/>
      </w:rPr>
      <w:fldChar w:fldCharType="begin"/>
    </w:r>
    <w:r w:rsidRPr="00114BF5">
      <w:rPr>
        <w:sz w:val="16"/>
        <w:szCs w:val="16"/>
      </w:rPr>
      <w:instrText xml:space="preserve"> PAGE   \* MERGEFORMAT </w:instrText>
    </w:r>
    <w:r w:rsidRPr="00114BF5">
      <w:rPr>
        <w:sz w:val="16"/>
        <w:szCs w:val="16"/>
      </w:rPr>
      <w:fldChar w:fldCharType="separate"/>
    </w:r>
    <w:r w:rsidR="00F4508B">
      <w:rPr>
        <w:noProof/>
        <w:sz w:val="16"/>
        <w:szCs w:val="16"/>
      </w:rPr>
      <w:t>2</w:t>
    </w:r>
    <w:r w:rsidRPr="00114BF5">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1EC" w:rsidRDefault="005F01EC" w:rsidP="005F01EC">
      <w:pPr>
        <w:spacing w:after="0" w:line="240" w:lineRule="auto"/>
      </w:pPr>
      <w:r>
        <w:separator/>
      </w:r>
    </w:p>
  </w:footnote>
  <w:footnote w:type="continuationSeparator" w:id="0">
    <w:p w:rsidR="005F01EC" w:rsidRDefault="005F01EC" w:rsidP="005F0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93" w:rsidRPr="00283F2A" w:rsidRDefault="00322893" w:rsidP="00322893">
    <w:pPr>
      <w:pStyle w:val="Header"/>
      <w:tabs>
        <w:tab w:val="clear" w:pos="4513"/>
        <w:tab w:val="clear" w:pos="9026"/>
        <w:tab w:val="left" w:pos="2805"/>
      </w:tabs>
      <w:spacing w:after="360"/>
      <w:rPr>
        <w:rFonts w:ascii="Arial Narrow" w:hAnsi="Arial Narrow"/>
        <w:b/>
        <w:caps/>
        <w:sz w:val="18"/>
        <w:szCs w:val="18"/>
      </w:rPr>
    </w:pPr>
    <w:r w:rsidRPr="00283F2A">
      <w:rPr>
        <w:rFonts w:ascii="Arial Narrow" w:hAnsi="Arial Narrow"/>
        <w:caps/>
        <w:noProof/>
        <w:lang w:eastAsia="en-AU"/>
      </w:rPr>
      <mc:AlternateContent>
        <mc:Choice Requires="wps">
          <w:drawing>
            <wp:anchor distT="45720" distB="45720" distL="114300" distR="114300" simplePos="0" relativeHeight="251659264" behindDoc="0" locked="0" layoutInCell="1" allowOverlap="1" wp14:anchorId="0EB1B9C7" wp14:editId="5330B5E6">
              <wp:simplePos x="0" y="0"/>
              <wp:positionH relativeFrom="margin">
                <wp:posOffset>3871430</wp:posOffset>
              </wp:positionH>
              <wp:positionV relativeFrom="paragraph">
                <wp:posOffset>-58006</wp:posOffset>
              </wp:positionV>
              <wp:extent cx="2861310" cy="4527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452755"/>
                      </a:xfrm>
                      <a:prstGeom prst="rect">
                        <a:avLst/>
                      </a:prstGeom>
                      <a:solidFill>
                        <a:srgbClr val="FFFFFF"/>
                      </a:solidFill>
                      <a:ln w="9525">
                        <a:noFill/>
                        <a:miter lim="800000"/>
                        <a:headEnd/>
                        <a:tailEnd/>
                      </a:ln>
                    </wps:spPr>
                    <wps:txbx>
                      <w:txbxContent>
                        <w:p w:rsidR="00322893" w:rsidRPr="001B3766" w:rsidRDefault="00322893" w:rsidP="00322893">
                          <w:pPr>
                            <w:spacing w:after="0"/>
                            <w:jc w:val="right"/>
                            <w:rPr>
                              <w:rFonts w:ascii="Arial Narrow" w:hAnsi="Arial Narrow"/>
                              <w:b/>
                              <w:caps/>
                              <w:color w:val="7F7F7F" w:themeColor="text1" w:themeTint="80"/>
                              <w:sz w:val="16"/>
                              <w:szCs w:val="16"/>
                            </w:rPr>
                          </w:pPr>
                          <w:r w:rsidRPr="001B3766">
                            <w:rPr>
                              <w:rFonts w:ascii="Arial Narrow" w:hAnsi="Arial Narrow"/>
                              <w:b/>
                              <w:caps/>
                              <w:color w:val="7F7F7F" w:themeColor="text1" w:themeTint="80"/>
                              <w:sz w:val="16"/>
                              <w:szCs w:val="16"/>
                            </w:rPr>
                            <w:t>Archiving and data management guide</w:t>
                          </w:r>
                        </w:p>
                        <w:p w:rsidR="00322893" w:rsidRPr="001B3766" w:rsidRDefault="00322893" w:rsidP="00322893">
                          <w:pPr>
                            <w:jc w:val="right"/>
                            <w:rPr>
                              <w:color w:val="7F7F7F" w:themeColor="text1" w:themeTint="80"/>
                              <w:sz w:val="16"/>
                              <w:szCs w:val="16"/>
                            </w:rPr>
                          </w:pPr>
                          <w:r w:rsidRPr="001B3766">
                            <w:rPr>
                              <w:rFonts w:ascii="Arial Narrow" w:hAnsi="Arial Narrow"/>
                              <w:b/>
                              <w:color w:val="7F7F7F" w:themeColor="text1" w:themeTint="80"/>
                              <w:sz w:val="16"/>
                              <w:szCs w:val="16"/>
                            </w:rPr>
                            <w:t>Sen</w:t>
                          </w:r>
                          <w:r>
                            <w:rPr>
                              <w:rFonts w:ascii="Arial Narrow" w:hAnsi="Arial Narrow"/>
                              <w:b/>
                              <w:color w:val="7F7F7F" w:themeColor="text1" w:themeTint="80"/>
                              <w:sz w:val="16"/>
                              <w:szCs w:val="16"/>
                            </w:rPr>
                            <w:t xml:space="preserve">d </w:t>
                          </w:r>
                          <w:r w:rsidRPr="001B3766">
                            <w:rPr>
                              <w:rFonts w:ascii="Arial Narrow" w:hAnsi="Arial Narrow"/>
                              <w:b/>
                              <w:color w:val="7F7F7F" w:themeColor="text1" w:themeTint="80"/>
                              <w:sz w:val="16"/>
                              <w:szCs w:val="16"/>
                            </w:rPr>
                            <w:t>questions</w:t>
                          </w:r>
                          <w:r>
                            <w:rPr>
                              <w:rFonts w:ascii="Arial Narrow" w:hAnsi="Arial Narrow"/>
                              <w:b/>
                              <w:color w:val="7F7F7F" w:themeColor="text1" w:themeTint="80"/>
                              <w:sz w:val="16"/>
                              <w:szCs w:val="16"/>
                            </w:rPr>
                            <w:t xml:space="preserve"> or </w:t>
                          </w:r>
                          <w:r w:rsidRPr="001B3766">
                            <w:rPr>
                              <w:rFonts w:ascii="Arial Narrow" w:hAnsi="Arial Narrow"/>
                              <w:b/>
                              <w:color w:val="7F7F7F" w:themeColor="text1" w:themeTint="80"/>
                              <w:sz w:val="16"/>
                              <w:szCs w:val="16"/>
                            </w:rPr>
                            <w:t xml:space="preserve">comments to </w:t>
                          </w:r>
                          <w:r>
                            <w:rPr>
                              <w:rFonts w:ascii="Arial Narrow" w:hAnsi="Arial Narrow"/>
                              <w:b/>
                              <w:color w:val="7F7F7F" w:themeColor="text1" w:themeTint="80"/>
                              <w:sz w:val="16"/>
                              <w:szCs w:val="16"/>
                            </w:rPr>
                            <w:t>admin@paradisec.org.au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1B9C7" id="_x0000_t202" coordsize="21600,21600" o:spt="202" path="m,l,21600r21600,l21600,xe">
              <v:stroke joinstyle="miter"/>
              <v:path gradientshapeok="t" o:connecttype="rect"/>
            </v:shapetype>
            <v:shape id="Text Box 2" o:spid="_x0000_s1026" type="#_x0000_t202" style="position:absolute;margin-left:304.85pt;margin-top:-4.55pt;width:225.3pt;height:35.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zwIQIAAB0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" stroked="f">
              <v:textbox>
                <w:txbxContent>
                  <w:p w:rsidR="00322893" w:rsidRPr="001B3766" w:rsidRDefault="00322893" w:rsidP="00322893">
                    <w:pPr>
                      <w:spacing w:after="0"/>
                      <w:jc w:val="right"/>
                      <w:rPr>
                        <w:rFonts w:ascii="Arial Narrow" w:hAnsi="Arial Narrow"/>
                        <w:b/>
                        <w:caps/>
                        <w:color w:val="7F7F7F" w:themeColor="text1" w:themeTint="80"/>
                        <w:sz w:val="16"/>
                        <w:szCs w:val="16"/>
                      </w:rPr>
                    </w:pPr>
                    <w:r w:rsidRPr="001B3766">
                      <w:rPr>
                        <w:rFonts w:ascii="Arial Narrow" w:hAnsi="Arial Narrow"/>
                        <w:b/>
                        <w:caps/>
                        <w:color w:val="7F7F7F" w:themeColor="text1" w:themeTint="80"/>
                        <w:sz w:val="16"/>
                        <w:szCs w:val="16"/>
                      </w:rPr>
                      <w:t>Archiving and data management guide</w:t>
                    </w:r>
                  </w:p>
                  <w:p w:rsidR="00322893" w:rsidRPr="001B3766" w:rsidRDefault="00322893" w:rsidP="00322893">
                    <w:pPr>
                      <w:jc w:val="right"/>
                      <w:rPr>
                        <w:color w:val="7F7F7F" w:themeColor="text1" w:themeTint="80"/>
                        <w:sz w:val="16"/>
                        <w:szCs w:val="16"/>
                      </w:rPr>
                    </w:pPr>
                    <w:r w:rsidRPr="001B3766">
                      <w:rPr>
                        <w:rFonts w:ascii="Arial Narrow" w:hAnsi="Arial Narrow"/>
                        <w:b/>
                        <w:color w:val="7F7F7F" w:themeColor="text1" w:themeTint="80"/>
                        <w:sz w:val="16"/>
                        <w:szCs w:val="16"/>
                      </w:rPr>
                      <w:t>Sen</w:t>
                    </w:r>
                    <w:r>
                      <w:rPr>
                        <w:rFonts w:ascii="Arial Narrow" w:hAnsi="Arial Narrow"/>
                        <w:b/>
                        <w:color w:val="7F7F7F" w:themeColor="text1" w:themeTint="80"/>
                        <w:sz w:val="16"/>
                        <w:szCs w:val="16"/>
                      </w:rPr>
                      <w:t xml:space="preserve">d </w:t>
                    </w:r>
                    <w:r w:rsidRPr="001B3766">
                      <w:rPr>
                        <w:rFonts w:ascii="Arial Narrow" w:hAnsi="Arial Narrow"/>
                        <w:b/>
                        <w:color w:val="7F7F7F" w:themeColor="text1" w:themeTint="80"/>
                        <w:sz w:val="16"/>
                        <w:szCs w:val="16"/>
                      </w:rPr>
                      <w:t>questions</w:t>
                    </w:r>
                    <w:r>
                      <w:rPr>
                        <w:rFonts w:ascii="Arial Narrow" w:hAnsi="Arial Narrow"/>
                        <w:b/>
                        <w:color w:val="7F7F7F" w:themeColor="text1" w:themeTint="80"/>
                        <w:sz w:val="16"/>
                        <w:szCs w:val="16"/>
                      </w:rPr>
                      <w:t xml:space="preserve"> or </w:t>
                    </w:r>
                    <w:r w:rsidRPr="001B3766">
                      <w:rPr>
                        <w:rFonts w:ascii="Arial Narrow" w:hAnsi="Arial Narrow"/>
                        <w:b/>
                        <w:color w:val="7F7F7F" w:themeColor="text1" w:themeTint="80"/>
                        <w:sz w:val="16"/>
                        <w:szCs w:val="16"/>
                      </w:rPr>
                      <w:t xml:space="preserve">comments to </w:t>
                    </w:r>
                    <w:r>
                      <w:rPr>
                        <w:rFonts w:ascii="Arial Narrow" w:hAnsi="Arial Narrow"/>
                        <w:b/>
                        <w:color w:val="7F7F7F" w:themeColor="text1" w:themeTint="80"/>
                        <w:sz w:val="16"/>
                        <w:szCs w:val="16"/>
                      </w:rPr>
                      <w:t>admin@paradisec.org.au</w:t>
                    </w:r>
                  </w:p>
                </w:txbxContent>
              </v:textbox>
              <w10:wrap type="square" anchorx="margin"/>
            </v:shape>
          </w:pict>
        </mc:Fallback>
      </mc:AlternateContent>
    </w:r>
    <w:r w:rsidRPr="00F7076B">
      <w:rPr>
        <w:rFonts w:ascii="Arial Narrow" w:hAnsi="Arial Narrow"/>
        <w:b/>
        <w:caps/>
        <w:noProof/>
        <w:sz w:val="18"/>
        <w:szCs w:val="18"/>
        <w:lang w:eastAsia="en-AU"/>
      </w:rPr>
      <mc:AlternateContent>
        <mc:Choice Requires="wps">
          <w:drawing>
            <wp:anchor distT="45720" distB="45720" distL="114300" distR="114300" simplePos="0" relativeHeight="251660288" behindDoc="0" locked="0" layoutInCell="1" allowOverlap="1" wp14:anchorId="0EBF11A6" wp14:editId="5314BFA8">
              <wp:simplePos x="0" y="0"/>
              <wp:positionH relativeFrom="column">
                <wp:posOffset>1110036</wp:posOffset>
              </wp:positionH>
              <wp:positionV relativeFrom="paragraph">
                <wp:posOffset>-98701</wp:posOffset>
              </wp:positionV>
              <wp:extent cx="2360930" cy="1404620"/>
              <wp:effectExtent l="0" t="0" r="8890"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22893" w:rsidRDefault="00322893" w:rsidP="00322893">
                          <w:pPr>
                            <w:pStyle w:val="Headers-addresses"/>
                            <w:rPr>
                              <w:rFonts w:ascii="Arial Narrow" w:hAnsi="Arial Narrow"/>
                              <w:b/>
                              <w:bCs/>
                              <w:color w:val="7F7F7F" w:themeColor="text1" w:themeTint="80"/>
                              <w:spacing w:val="4"/>
                              <w:sz w:val="16"/>
                              <w:szCs w:val="16"/>
                            </w:rPr>
                          </w:pPr>
                          <w:r w:rsidRPr="00F7076B">
                            <w:rPr>
                              <w:rFonts w:ascii="Arial Narrow" w:hAnsi="Arial Narrow"/>
                              <w:b/>
                              <w:bCs/>
                              <w:color w:val="7F7F7F" w:themeColor="text1" w:themeTint="80"/>
                              <w:spacing w:val="4"/>
                              <w:sz w:val="16"/>
                              <w:szCs w:val="16"/>
                            </w:rPr>
                            <w:t>Pacific and Regional Archive for Digital Sources in Endangered Cultures</w:t>
                          </w:r>
                        </w:p>
                        <w:p w:rsidR="00322893" w:rsidRPr="00F7076B" w:rsidRDefault="00322893" w:rsidP="00322893">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Sydney Conservatorium of Music, C41</w:t>
                          </w:r>
                        </w:p>
                        <w:p w:rsidR="00322893" w:rsidRPr="00F7076B" w:rsidRDefault="00322893" w:rsidP="00322893">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University of Sydney NSW 2006</w:t>
                          </w:r>
                        </w:p>
                        <w:p w:rsidR="00322893" w:rsidRPr="00F7076B" w:rsidRDefault="00322893" w:rsidP="00322893">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Tel: +61 2 9351 1279  Fax: +61 2 9351 1287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BF11A6" id="_x0000_s1027" type="#_x0000_t202" style="position:absolute;margin-left:87.4pt;margin-top:-7.7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6DIgIAACM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" stroked="f">
              <v:textbox style="mso-fit-shape-to-text:t">
                <w:txbxContent>
                  <w:p w:rsidR="00322893" w:rsidRDefault="00322893" w:rsidP="00322893">
                    <w:pPr>
                      <w:pStyle w:val="Headers-addresses"/>
                      <w:rPr>
                        <w:rFonts w:ascii="Arial Narrow" w:hAnsi="Arial Narrow"/>
                        <w:b/>
                        <w:bCs/>
                        <w:color w:val="7F7F7F" w:themeColor="text1" w:themeTint="80"/>
                        <w:spacing w:val="4"/>
                        <w:sz w:val="16"/>
                        <w:szCs w:val="16"/>
                      </w:rPr>
                    </w:pPr>
                    <w:r w:rsidRPr="00F7076B">
                      <w:rPr>
                        <w:rFonts w:ascii="Arial Narrow" w:hAnsi="Arial Narrow"/>
                        <w:b/>
                        <w:bCs/>
                        <w:color w:val="7F7F7F" w:themeColor="text1" w:themeTint="80"/>
                        <w:spacing w:val="4"/>
                        <w:sz w:val="16"/>
                        <w:szCs w:val="16"/>
                      </w:rPr>
                      <w:t>Pacific and Regional Archive for Digital Sources in Endangered Cultures</w:t>
                    </w:r>
                  </w:p>
                  <w:p w:rsidR="00322893" w:rsidRPr="00F7076B" w:rsidRDefault="00322893" w:rsidP="00322893">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Sydney Conservatorium of Music, C41</w:t>
                    </w:r>
                  </w:p>
                  <w:p w:rsidR="00322893" w:rsidRPr="00F7076B" w:rsidRDefault="00322893" w:rsidP="00322893">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University of Sydney NSW 2006</w:t>
                    </w:r>
                  </w:p>
                  <w:p w:rsidR="00322893" w:rsidRPr="00F7076B" w:rsidRDefault="00322893" w:rsidP="00322893">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Tel: +61 2 9351 1279  Fax: +61 2 9351 1287</w:t>
                    </w:r>
                  </w:p>
                </w:txbxContent>
              </v:textbox>
              <w10:wrap type="square"/>
            </v:shape>
          </w:pict>
        </mc:Fallback>
      </mc:AlternateContent>
    </w:r>
    <w:r>
      <w:rPr>
        <w:rFonts w:ascii="Arial Narrow" w:hAnsi="Arial Narrow"/>
        <w:b/>
        <w:caps/>
        <w:noProof/>
        <w:sz w:val="18"/>
        <w:szCs w:val="18"/>
        <w:lang w:eastAsia="en-AU"/>
      </w:rPr>
      <w:drawing>
        <wp:inline distT="0" distB="0" distL="0" distR="0" wp14:anchorId="5E096C44" wp14:editId="2A8B5D8C">
          <wp:extent cx="962107" cy="6437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disec_logo_vect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17" cy="6543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A69B6"/>
    <w:multiLevelType w:val="hybridMultilevel"/>
    <w:tmpl w:val="7F488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FD07E1"/>
    <w:multiLevelType w:val="hybridMultilevel"/>
    <w:tmpl w:val="C5828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8557AFB"/>
    <w:multiLevelType w:val="hybridMultilevel"/>
    <w:tmpl w:val="76C86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B56123B"/>
    <w:multiLevelType w:val="hybridMultilevel"/>
    <w:tmpl w:val="1DB030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52"/>
    <w:rsid w:val="000209C8"/>
    <w:rsid w:val="00023F2D"/>
    <w:rsid w:val="0005503D"/>
    <w:rsid w:val="000E1A04"/>
    <w:rsid w:val="000E6887"/>
    <w:rsid w:val="00106AE7"/>
    <w:rsid w:val="00114BF5"/>
    <w:rsid w:val="00116D96"/>
    <w:rsid w:val="001256BA"/>
    <w:rsid w:val="00186037"/>
    <w:rsid w:val="001B3766"/>
    <w:rsid w:val="001E40BF"/>
    <w:rsid w:val="00203356"/>
    <w:rsid w:val="00215C4F"/>
    <w:rsid w:val="00215F8D"/>
    <w:rsid w:val="00224316"/>
    <w:rsid w:val="00240B68"/>
    <w:rsid w:val="00264538"/>
    <w:rsid w:val="00283F2A"/>
    <w:rsid w:val="003169E1"/>
    <w:rsid w:val="00322893"/>
    <w:rsid w:val="00325256"/>
    <w:rsid w:val="00335312"/>
    <w:rsid w:val="00342041"/>
    <w:rsid w:val="00377921"/>
    <w:rsid w:val="003923E9"/>
    <w:rsid w:val="003D443B"/>
    <w:rsid w:val="00404800"/>
    <w:rsid w:val="00435724"/>
    <w:rsid w:val="00452D30"/>
    <w:rsid w:val="00460852"/>
    <w:rsid w:val="00460DC6"/>
    <w:rsid w:val="0048226E"/>
    <w:rsid w:val="004B68EF"/>
    <w:rsid w:val="004C7632"/>
    <w:rsid w:val="00536534"/>
    <w:rsid w:val="00536818"/>
    <w:rsid w:val="005434DC"/>
    <w:rsid w:val="00555EC2"/>
    <w:rsid w:val="00560216"/>
    <w:rsid w:val="00563D67"/>
    <w:rsid w:val="00575A62"/>
    <w:rsid w:val="00577518"/>
    <w:rsid w:val="00583B99"/>
    <w:rsid w:val="005F01EC"/>
    <w:rsid w:val="00640B1F"/>
    <w:rsid w:val="006464A6"/>
    <w:rsid w:val="00667E2F"/>
    <w:rsid w:val="007257CD"/>
    <w:rsid w:val="00797744"/>
    <w:rsid w:val="007A3764"/>
    <w:rsid w:val="007D22BA"/>
    <w:rsid w:val="007D31D1"/>
    <w:rsid w:val="00825E1E"/>
    <w:rsid w:val="00826EFE"/>
    <w:rsid w:val="008A0A40"/>
    <w:rsid w:val="00951E27"/>
    <w:rsid w:val="00955A3F"/>
    <w:rsid w:val="009B56AF"/>
    <w:rsid w:val="009D3103"/>
    <w:rsid w:val="009D5852"/>
    <w:rsid w:val="009E0911"/>
    <w:rsid w:val="00A27162"/>
    <w:rsid w:val="00A35667"/>
    <w:rsid w:val="00A94207"/>
    <w:rsid w:val="00AC3479"/>
    <w:rsid w:val="00AE7B4D"/>
    <w:rsid w:val="00B0697A"/>
    <w:rsid w:val="00B21CCC"/>
    <w:rsid w:val="00B64032"/>
    <w:rsid w:val="00CB5C9F"/>
    <w:rsid w:val="00CE2E87"/>
    <w:rsid w:val="00D30FAF"/>
    <w:rsid w:val="00D90B5D"/>
    <w:rsid w:val="00D93580"/>
    <w:rsid w:val="00D93625"/>
    <w:rsid w:val="00DB3466"/>
    <w:rsid w:val="00E11B16"/>
    <w:rsid w:val="00E31F14"/>
    <w:rsid w:val="00E61011"/>
    <w:rsid w:val="00E63C06"/>
    <w:rsid w:val="00E820CE"/>
    <w:rsid w:val="00E84B7F"/>
    <w:rsid w:val="00E91B00"/>
    <w:rsid w:val="00EA2530"/>
    <w:rsid w:val="00EB5D74"/>
    <w:rsid w:val="00F4508B"/>
    <w:rsid w:val="00F907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FE3804B-0E7A-44D7-9964-F667FE1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24"/>
  </w:style>
  <w:style w:type="paragraph" w:styleId="Heading1">
    <w:name w:val="heading 1"/>
    <w:basedOn w:val="Normal"/>
    <w:next w:val="Normal"/>
    <w:link w:val="Heading1Char"/>
    <w:uiPriority w:val="9"/>
    <w:qFormat/>
    <w:rsid w:val="00E61011"/>
    <w:pPr>
      <w:keepNext/>
      <w:keepLines/>
      <w:spacing w:before="240" w:after="0"/>
      <w:outlineLvl w:val="0"/>
    </w:pPr>
    <w:rPr>
      <w:rFonts w:eastAsiaTheme="majorEastAsia" w:cstheme="majorBidi"/>
      <w:b/>
      <w:smallCaps/>
      <w:sz w:val="24"/>
      <w:szCs w:val="32"/>
    </w:rPr>
  </w:style>
  <w:style w:type="paragraph" w:styleId="Heading2">
    <w:name w:val="heading 2"/>
    <w:basedOn w:val="Normal"/>
    <w:next w:val="Normal"/>
    <w:link w:val="Heading2Char"/>
    <w:uiPriority w:val="9"/>
    <w:unhideWhenUsed/>
    <w:qFormat/>
    <w:rsid w:val="00E63C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DC6"/>
    <w:rPr>
      <w:color w:val="0563C1" w:themeColor="hyperlink"/>
      <w:u w:val="single"/>
    </w:rPr>
  </w:style>
  <w:style w:type="character" w:styleId="IntenseReference">
    <w:name w:val="Intense Reference"/>
    <w:basedOn w:val="DefaultParagraphFont"/>
    <w:uiPriority w:val="32"/>
    <w:qFormat/>
    <w:rsid w:val="00575A62"/>
    <w:rPr>
      <w:b/>
      <w:bCs/>
      <w:smallCaps/>
      <w:color w:val="5B9BD5" w:themeColor="accent1"/>
      <w:spacing w:val="5"/>
    </w:rPr>
  </w:style>
  <w:style w:type="paragraph" w:styleId="Header">
    <w:name w:val="header"/>
    <w:basedOn w:val="Normal"/>
    <w:link w:val="HeaderChar"/>
    <w:uiPriority w:val="99"/>
    <w:unhideWhenUsed/>
    <w:rsid w:val="005F0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1EC"/>
  </w:style>
  <w:style w:type="paragraph" w:styleId="Footer">
    <w:name w:val="footer"/>
    <w:basedOn w:val="Normal"/>
    <w:link w:val="FooterChar"/>
    <w:uiPriority w:val="99"/>
    <w:unhideWhenUsed/>
    <w:rsid w:val="005F0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1EC"/>
  </w:style>
  <w:style w:type="character" w:customStyle="1" w:styleId="Heading1Char">
    <w:name w:val="Heading 1 Char"/>
    <w:basedOn w:val="DefaultParagraphFont"/>
    <w:link w:val="Heading1"/>
    <w:uiPriority w:val="9"/>
    <w:rsid w:val="00E61011"/>
    <w:rPr>
      <w:rFonts w:eastAsiaTheme="majorEastAsia" w:cstheme="majorBidi"/>
      <w:b/>
      <w:smallCaps/>
      <w:sz w:val="24"/>
      <w:szCs w:val="32"/>
    </w:rPr>
  </w:style>
  <w:style w:type="character" w:customStyle="1" w:styleId="Heading2Char">
    <w:name w:val="Heading 2 Char"/>
    <w:basedOn w:val="DefaultParagraphFont"/>
    <w:link w:val="Heading2"/>
    <w:uiPriority w:val="9"/>
    <w:rsid w:val="00E63C0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E63C06"/>
    <w:rPr>
      <w:i/>
      <w:iCs/>
      <w:color w:val="5B9BD5" w:themeColor="accent1"/>
    </w:rPr>
  </w:style>
  <w:style w:type="paragraph" w:styleId="BalloonText">
    <w:name w:val="Balloon Text"/>
    <w:basedOn w:val="Normal"/>
    <w:link w:val="BalloonTextChar"/>
    <w:uiPriority w:val="99"/>
    <w:semiHidden/>
    <w:unhideWhenUsed/>
    <w:rsid w:val="007D3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D1"/>
    <w:rPr>
      <w:rFonts w:ascii="Segoe UI" w:hAnsi="Segoe UI" w:cs="Segoe UI"/>
      <w:sz w:val="18"/>
      <w:szCs w:val="18"/>
    </w:rPr>
  </w:style>
  <w:style w:type="paragraph" w:styleId="ListParagraph">
    <w:name w:val="List Paragraph"/>
    <w:basedOn w:val="Normal"/>
    <w:uiPriority w:val="34"/>
    <w:qFormat/>
    <w:rsid w:val="00435724"/>
    <w:pPr>
      <w:ind w:left="720"/>
      <w:contextualSpacing/>
    </w:pPr>
  </w:style>
  <w:style w:type="character" w:customStyle="1" w:styleId="A3">
    <w:name w:val="A3"/>
    <w:uiPriority w:val="99"/>
    <w:rsid w:val="00563D67"/>
    <w:rPr>
      <w:rFonts w:cs="Minion Pro"/>
      <w:b/>
      <w:bCs/>
      <w:color w:val="00579C"/>
      <w:sz w:val="22"/>
      <w:szCs w:val="22"/>
    </w:rPr>
  </w:style>
  <w:style w:type="character" w:styleId="FollowedHyperlink">
    <w:name w:val="FollowedHyperlink"/>
    <w:basedOn w:val="DefaultParagraphFont"/>
    <w:uiPriority w:val="99"/>
    <w:semiHidden/>
    <w:unhideWhenUsed/>
    <w:rsid w:val="00797744"/>
    <w:rPr>
      <w:color w:val="954F72" w:themeColor="followedHyperlink"/>
      <w:u w:val="single"/>
    </w:rPr>
  </w:style>
  <w:style w:type="paragraph" w:customStyle="1" w:styleId="Headers-addresses">
    <w:name w:val="Headers-addresses"/>
    <w:basedOn w:val="Normal"/>
    <w:uiPriority w:val="99"/>
    <w:rsid w:val="00322893"/>
    <w:pPr>
      <w:suppressAutoHyphens/>
      <w:autoSpaceDE w:val="0"/>
      <w:autoSpaceDN w:val="0"/>
      <w:adjustRightInd w:val="0"/>
      <w:spacing w:after="0" w:line="200" w:lineRule="atLeast"/>
      <w:textAlignment w:val="center"/>
    </w:pPr>
    <w:rPr>
      <w:rFonts w:ascii="Minion Pro" w:hAnsi="Minion Pro" w:cs="Minion Pro"/>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aradisec.org.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atalog.paradisec.org.au/" TargetMode="External"/><Relationship Id="rId12" Type="http://schemas.openxmlformats.org/officeDocument/2006/relationships/hyperlink" Target="https://www.aarnet.edu.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rnet.edu.au/network-and-services/cloud-services-applications/cloudst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atalog.paradisec.org.au/collections/LB3" TargetMode="External"/><Relationship Id="rId4" Type="http://schemas.openxmlformats.org/officeDocument/2006/relationships/webSettings" Target="webSettings.xml"/><Relationship Id="rId9" Type="http://schemas.openxmlformats.org/officeDocument/2006/relationships/hyperlink" Target="http://catalog.paradisec.org.au/collections/NT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Getting started with PARADISEC</vt:lpstr>
    </vt:vector>
  </TitlesOfParts>
  <Company>The Australian National University</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started with PARADISEC</dc:title>
  <dc:subject>Last updated July 2016</dc:subject>
  <dc:creator>Julia Colleen Miller</dc:creator>
  <cp:keywords/>
  <dc:description/>
  <cp:lastModifiedBy>Coedl</cp:lastModifiedBy>
  <cp:revision>2</cp:revision>
  <cp:lastPrinted>2016-04-01T05:15:00Z</cp:lastPrinted>
  <dcterms:created xsi:type="dcterms:W3CDTF">2016-07-08T03:34:00Z</dcterms:created>
  <dcterms:modified xsi:type="dcterms:W3CDTF">2016-07-08T03:34:00Z</dcterms:modified>
</cp:coreProperties>
</file>